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1081" w:firstLineChars="30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single" w:color="48C6BF"/>
        </w:rPr>
      </w:pP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single" w:color="48C6B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single" w:color="48C6BF"/>
        </w:rPr>
        <w:t>马疱疹病毒通用染料法荧光定量PCR试剂盒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u w:val="single" w:color="48C6BF"/>
        </w:rPr>
      </w:pP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single" w:color="48C6BF"/>
          <w:lang w:val="en-US" w:eastAsia="zh-CN"/>
          <w14:glow w14:rad="63500">
            <w14:schemeClr w14:val="accent6">
              <w14:satMod w14:val="175000"/>
              <w14:alpha w14:val="60000"/>
            </w14:schemeClr>
          </w14:glow>
        </w:rPr>
      </w:pPr>
      <w:r>
        <w:rPr>
          <w:rStyle w:val="9"/>
          <w:rFonts w:hint="eastAsia" w:ascii="微软雅黑" w:hAnsi="微软雅黑" w:eastAsia="微软雅黑" w:cs="微软雅黑"/>
          <w:b/>
          <w:bCs/>
          <w:color w:val="auto"/>
          <w:sz w:val="28"/>
          <w:szCs w:val="28"/>
          <w:highlight w:val="none"/>
          <w:u w:val="none"/>
          <w:shd w:val="clear" w:color="auto" w:fill="auto"/>
          <w14:glow w14:rad="63500">
            <w14:schemeClr w14:val="accent6">
              <w14:satMod w14:val="175000"/>
              <w14:alpha w14:val="60000"/>
            </w14:schemeClr>
          </w14:glow>
        </w:rPr>
        <w:t>产品及特点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14:glow w14:rad="63500">
            <w14:schemeClr w14:val="accent6">
              <w14:satMod w14:val="175000"/>
              <w14:alpha w14:val="60000"/>
            </w14:schemeClr>
          </w14:glow>
        </w:rPr>
        <w:t>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highlight w:val="none"/>
          <w:u w:val="none"/>
          <w:lang w:val="en-US" w:eastAsia="zh-CN"/>
          <w14:glow w14:rad="63500">
            <w14:schemeClr w14:val="accent6">
              <w14:satMod w14:val="175000"/>
              <w14:alpha w14:val="60000"/>
            </w14:schemeClr>
          </w14:glow>
        </w:rPr>
        <w:t xml:space="preserve"> 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马疱疹病毒(Equine Herpesvirus，EHV) 在自然感染的情况下，主要是马容易发生该病，尤其是 1～4 岁的马比较容易发生，而老龄马和幼龄马相对比较少发病。病马往往突然出现高热，体温升高达到 41-42℃，呈稽留热，且体质迅速虚弱，接着眼、口、鼻黏膜很快出现严重炎症。双眼不停流泪，眼脸发生肿胀闭合，且有纤维素性脓性分泌物流出，角膜发生混浊，甚至形成溃疡，最终导致失明。这一疾病对养马业造成巨大危害，因此马疱疹病毒的快速准确鉴定对该病的预防和检疫有着重要作用，为此本公司开发了简单快捷的马疱疹病毒染料法荧光定量 PCR 检测试剂盒，它具有下列特点：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1. 即开即用，用户只需要提供病毒样品。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2. 根据马疱疹病毒通用保守序列设计的专一性引物，与相关病毒无交叉反应。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3. 灵敏度可以达到几百拷贝/反应。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4. 一管式荧光定量 PCR 检测，避免后续污染。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5. 本试剂盒足够 50 次 20μL 反应体系的荧光定量 PCR。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14:glow w14:rad="63500">
            <w14:schemeClr w14:val="accent6">
              <w14:satMod w14:val="175000"/>
              <w14:alpha w14:val="60000"/>
            </w14:schemeClr>
          </w14:glow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14:glow w14:rad="63500">
            <w14:schemeClr w14:val="accent6">
              <w14:satMod w14:val="175000"/>
              <w14:alpha w14:val="60000"/>
            </w14:schemeClr>
          </w14:glow>
        </w:rPr>
        <w:t>规格及成分：</w:t>
      </w:r>
    </w:p>
    <w:tbl>
      <w:tblPr>
        <w:tblStyle w:val="5"/>
        <w:tblW w:w="8066" w:type="dxa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4825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编号</w:t>
            </w: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成分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试剂一</w:t>
            </w: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2×qPCR MagicMix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500 μL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棕色管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试剂二</w:t>
            </w: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荧光 PCR 专用模板稀释液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1 mL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黄盖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试剂三</w:t>
            </w: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马疱疹病毒通用染料法PCR 引物混合液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100 μL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白盖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  <w:t>试剂四</w:t>
            </w: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马疱疹病毒通用染料法PCR 阳性对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照(1×10E8 拷贝/μL)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50 μL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红盖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试剂五</w:t>
            </w: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DNA 病毒裂解液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试用装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15 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9 mL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4825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使用手册</w:t>
            </w:r>
          </w:p>
        </w:tc>
        <w:tc>
          <w:tcPr>
            <w:tcW w:w="170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1 份</w:t>
            </w:r>
          </w:p>
        </w:tc>
      </w:tr>
    </w:tbl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  <w:t>运输及保存：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低温运输、-20℃保存，有效期一年。</w:t>
      </w:r>
    </w:p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  <w:t>自备试剂：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  <w:t xml:space="preserve"> 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DNA 模板、10×ROX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根据机型决定，具体见使用方法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。</w:t>
      </w:r>
    </w:p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auto" w:fill="auto"/>
          <w:lang w:eastAsia="zh-CN"/>
          <w14:glow w14:rad="63500">
            <w14:schemeClr w14:val="accent6">
              <w14:satMod w14:val="175000"/>
              <w14:alpha w14:val="60000"/>
            </w14:schemeClr>
          </w14:glow>
        </w:rPr>
        <w:t>使用方法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  <w:t>：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14:glow w14:rad="63500">
            <w14:schemeClr w14:val="accent6">
              <w14:satMod w14:val="175000"/>
              <w14:alpha w14:val="60000"/>
            </w14:schemeClr>
          </w14:glow>
        </w:rPr>
        <w:t xml:space="preserve">  </w:t>
      </w:r>
    </w:p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一、稀释PCR阳性对照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lang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(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以10E2-10E7拷贝/μL这6 个 10倍稀释度为例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lang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)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 xml:space="preserve">： 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1. 注意：由于标准品浓度非常高，因此下列稀释操作一定要在独立的区域进行，千万不能污染样品或本试剂盒的其他成分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。为增加产品稳定性和避免扩散传染性病原，本产品不提供活体样品做阳性对照，只提供可以直接使用的 DNA 片段作为阳性对照。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2. 标记 6 个离心管，分别为 7，6，5，4，3，2。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3. 用带芯枪头分别加入 45 μL 荧光 PCR 专用模板稀释液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最好用带芯枪头，下同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4. 在 7 号管中加入 5 μL 1×10E8 拷贝/μL 的阳性对照，充分震荡 1 分钟，得1×10E7 拷贝/μL 的阳性对照。放冰上待用。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5. 换枪头，在 6 号管中加入 5 μL 1×10E7 拷贝/μL 的阳性对照(上步稀释所得)，充分震荡 1 分钟，得 1×10E6 拷贝/μL 的阳性对照。放冰上待用。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6. 换枪头，在 5 号管中加入 5 μL 1×10E6 拷贝/μL 的阳性对照到 5 号管中，充分震荡 1 分钟，得 1×10E5 拷贝/μL 的阳性对照。放冰上待用。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7. 重复上面的操作直到得到 6 个稀释度的阳性对照。放冰上待用。</w:t>
      </w:r>
    </w:p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 xml:space="preserve">二、样品 DNA 的制备：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8. 如果有 N 个样品，必须设置 N+2 个提取，多出的一个是 PC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样品制备阳性对照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，一个是 NC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样品制备阴性对照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。可以用 10μL 上步制备的 PCR 阳性对照的第 4号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浓度为 1×10E4 拷贝/μL，10μL 相当于 1 万拷贝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或第 5 号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浓度为 1×10E5拷贝/μL，10μL 相当于 10 万拷贝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再加上一定量的水使总体积跟每次制备要求的体积一样，以此作为 PC。另外用水作为 NC。如果每次制备需要 200μL 样品，则 PC 和 NC 的体积也必须是 200μL。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9. 用自选方法纯化样品的 DNA，本试剂盒跟市场上大多数病毒 DNA 提取试剂盒兼容。也可以选购本公司的一管式病毒 DNAout 或其升级版柱式病毒 DNAout。本试剂盒免费赠送 15 次一管式病毒 DNAout。</w:t>
      </w:r>
    </w:p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三、设置 qPCR 反应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lang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(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20 μL 体系，在样品制备室进行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lang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)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10. 如果只做 1 次重复，则标记 N+9 个 PCR 管，其中 N+2 个用于上步得到的 N+2 个样品，1 个用于 PCR 阴性对照，6 个用于 PCR 阳性对照。如果做 2-3 次重复，则反应设置数量相应增加 2 或 3 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11. 在标记管中按下表加入各成分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本表只列出一次重复。样品管和阴性对照设置完毕后才设置阳性对照，并且阳性对照样品要等所有管子盖上盖子储存好后最后加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：</w:t>
      </w:r>
    </w:p>
    <w:tbl>
      <w:tblPr>
        <w:tblStyle w:val="5"/>
        <w:tblW w:w="8034" w:type="dxa"/>
        <w:tblInd w:w="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759"/>
        <w:gridCol w:w="1677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成分</w:t>
            </w:r>
          </w:p>
        </w:tc>
        <w:tc>
          <w:tcPr>
            <w:tcW w:w="17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样品管 N+2 个</w:t>
            </w:r>
          </w:p>
        </w:tc>
        <w:tc>
          <w:tcPr>
            <w:tcW w:w="16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PCR 阴性对照管</w:t>
            </w:r>
          </w:p>
        </w:tc>
        <w:tc>
          <w:tcPr>
            <w:tcW w:w="21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360" w:right="0" w:hanging="360" w:hangingChars="20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PCR阳性对照管</w:t>
            </w: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2-7 管</w:t>
            </w: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 xml:space="preserve">2×qPCR MagicMix 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棕色管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7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10μL</w:t>
            </w:r>
          </w:p>
        </w:tc>
        <w:tc>
          <w:tcPr>
            <w:tcW w:w="16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10 μL</w:t>
            </w:r>
          </w:p>
        </w:tc>
        <w:tc>
          <w:tcPr>
            <w:tcW w:w="21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各10μL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马疱疹病毒通用 PCR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混合液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白盖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7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 μL</w:t>
            </w:r>
          </w:p>
        </w:tc>
        <w:tc>
          <w:tcPr>
            <w:tcW w:w="16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 μL</w:t>
            </w:r>
          </w:p>
        </w:tc>
        <w:tc>
          <w:tcPr>
            <w:tcW w:w="21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各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2μL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391"/>
              </w:tabs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自备 10×ROX (见注)</w:t>
            </w:r>
          </w:p>
        </w:tc>
        <w:tc>
          <w:tcPr>
            <w:tcW w:w="17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 μL</w:t>
            </w:r>
          </w:p>
        </w:tc>
        <w:tc>
          <w:tcPr>
            <w:tcW w:w="16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 μL</w:t>
            </w:r>
          </w:p>
        </w:tc>
        <w:tc>
          <w:tcPr>
            <w:tcW w:w="21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各2μL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N+2 待测样品 DNA 模板</w:t>
            </w:r>
          </w:p>
        </w:tc>
        <w:tc>
          <w:tcPr>
            <w:tcW w:w="17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6 μL</w:t>
            </w:r>
          </w:p>
        </w:tc>
        <w:tc>
          <w:tcPr>
            <w:tcW w:w="16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不加</w:t>
            </w:r>
          </w:p>
        </w:tc>
        <w:tc>
          <w:tcPr>
            <w:tcW w:w="21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不加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6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第 7 步所得 PCR 阳性对照稀释液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2-7 号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  <w:tc>
          <w:tcPr>
            <w:tcW w:w="175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不加</w:t>
            </w:r>
          </w:p>
        </w:tc>
        <w:tc>
          <w:tcPr>
            <w:tcW w:w="1677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不加</w:t>
            </w:r>
          </w:p>
        </w:tc>
        <w:tc>
          <w:tcPr>
            <w:tcW w:w="213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各 6μL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2 号样到 2 号管，3 号样到 3 号管…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  <w:t>)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0000"/>
          <w:spacing w:val="0"/>
          <w:sz w:val="21"/>
          <w:szCs w:val="21"/>
        </w:rPr>
        <w:t>注: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FF0000"/>
          <w:spacing w:val="0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仅 ABI7500、7700 和 7900 仪器需要使用 ROX 作为对照，其他荧光 PCR 仪器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如 iCycler IQ、MJ Option、MJ Chromo4、MX3000、MX4000、RotorGene3000、RotorGene 6000 和 LightCycler480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不需要使用 ROX，则用水替代。</w:t>
      </w:r>
    </w:p>
    <w:p>
      <w:pPr>
        <w:pStyle w:val="3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盖上盖子后上机，按下面参数进行PCR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具体PCR参数可以根据仪器不同而自行优化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lang w:eastAsia="zh-CN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 xml:space="preserve">。 </w:t>
      </w:r>
    </w:p>
    <w:tbl>
      <w:tblPr>
        <w:tblStyle w:val="5"/>
        <w:tblW w:w="8002" w:type="dxa"/>
        <w:tblInd w:w="2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2"/>
        <w:gridCol w:w="2841"/>
        <w:gridCol w:w="2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过程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温度</w:t>
            </w:r>
          </w:p>
        </w:tc>
        <w:tc>
          <w:tcPr>
            <w:tcW w:w="254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sz w:val="18"/>
                <w:szCs w:val="18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2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预变性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92℃</w:t>
            </w:r>
          </w:p>
        </w:tc>
        <w:tc>
          <w:tcPr>
            <w:tcW w:w="254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5分钟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2" w:type="dxa"/>
            <w:vMerge w:val="restart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PCR反应30个循环</w:t>
            </w: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94℃</w:t>
            </w:r>
          </w:p>
        </w:tc>
        <w:tc>
          <w:tcPr>
            <w:tcW w:w="254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60秒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50℃</w:t>
            </w:r>
          </w:p>
        </w:tc>
        <w:tc>
          <w:tcPr>
            <w:tcW w:w="254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60秒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2" w:type="dxa"/>
            <w:vMerge w:val="continue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841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72℃</w:t>
            </w:r>
          </w:p>
        </w:tc>
        <w:tc>
          <w:tcPr>
            <w:tcW w:w="254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vertAlign w:val="baseli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8"/>
                <w:szCs w:val="18"/>
              </w:rPr>
              <w:t>60秒</w:t>
            </w:r>
          </w:p>
        </w:tc>
      </w:tr>
    </w:tbl>
    <w:p>
      <w:pPr>
        <w:pStyle w:val="3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13. 数据采集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具体操作按所用仪器推荐的流程进行。本产品中所含的荧光染料在不结合 DNA 时，最大吸收光谱在 471 nm，结合 DNA 时的最大吸收光谱在 500 nm，最大发射光谱在 530 nm。信号采集可以设置在复性或延伸步骤。</w:t>
      </w:r>
    </w:p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color="auto" w:fill="auto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color="auto" w:fill="auto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四、数据处理：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14. 如果把本试剂盒用于定量检测，则以阳性对照浓度的 log 值为横轴，以 Ct 值为纵轴，绘制标准曲线。再以待测样品的 Ct 值从标准曲线上推算出样品 DNA 浓度的log 值，再推算出其浓度。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/>
          <w:bCs/>
          <w:sz w:val="21"/>
          <w:szCs w:val="21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</w:rPr>
        <w:t>15. 如果把本试剂盒用于定性检测，只判断阳性或阴性，则阴性对照 Ct 必须大于或等于 40。阳性对照必须有荧光对数增长，有典型扩增曲线，Ct 值应该小于或等于30。对待测样品，如果其 Ct 大于或等于 40 则为阴性，如果小于或等于 35 则为阳性。如果在 35-40 之间，则重复一次。重复实验的 Ct 值如果大于或等于40则为阴性，如果小于40，则为阳性。</w:t>
      </w:r>
    </w:p>
    <w:p>
      <w:pPr>
        <w:pStyle w:val="3"/>
        <w:widowControl/>
        <w:numPr>
          <w:ilvl w:val="0"/>
          <w:numId w:val="0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Chars="0" w:right="0" w:rightChars="0"/>
        <w:rPr>
          <w:rFonts w:hint="eastAsia" w:ascii="微软雅黑" w:hAnsi="微软雅黑" w:eastAsia="微软雅黑" w:cs="微软雅黑"/>
          <w:b/>
          <w:bCs/>
          <w:sz w:val="21"/>
          <w:szCs w:val="21"/>
          <w:u w:val="single"/>
          <w:lang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4"/>
          <w:szCs w:val="24"/>
          <w:u w:val="none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上海纪宁实业有限公司</w:t>
      </w: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4"/>
          <w:szCs w:val="24"/>
          <w:u w:val="none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(</w:t>
      </w:r>
      <w:r>
        <w:rPr>
          <w:rStyle w:val="8"/>
          <w:rFonts w:hint="eastAsia"/>
          <w:b/>
          <w:bCs/>
          <w:color w:val="C55A11" w:themeColor="accent2" w:themeShade="BF"/>
          <w:lang w:val="en-US" w:eastAsia="zh-CN"/>
        </w:rPr>
        <w:t>www.shjning.com</w:t>
      </w: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4"/>
          <w:szCs w:val="24"/>
          <w:u w:val="none"/>
          <w:lang w:val="en-US" w:eastAsia="zh-CN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)</w:t>
      </w: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FF"/>
          <w:spacing w:val="0"/>
          <w:sz w:val="24"/>
          <w:szCs w:val="24"/>
          <w:u w:val="none"/>
          <w14:textFill>
            <w14:gradFill>
              <w14:gsLst>
                <w14:gs w14:pos="0">
                  <w14:srgbClr w14:val="012D86"/>
                </w14:gs>
                <w14:gs w14:pos="100000">
                  <w14:srgbClr w14:val="0E2557"/>
                </w14:gs>
              </w14:gsLst>
              <w14:lin w14:scaled="0"/>
            </w14:gradFill>
          </w14:textFill>
        </w:rPr>
        <w:t>所有产品仅供科研使用，不得用于其他用途。</w:t>
      </w: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>
      <w:pPr>
        <w:rPr>
          <w:rFonts w:hint="eastAsia" w:ascii="微软雅黑" w:hAnsi="微软雅黑" w:eastAsia="微软雅黑" w:cs="微软雅黑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-47625</wp:posOffset>
              </wp:positionH>
              <wp:positionV relativeFrom="page">
                <wp:posOffset>9525</wp:posOffset>
              </wp:positionV>
              <wp:extent cx="7706360" cy="564515"/>
              <wp:effectExtent l="0" t="0" r="0" b="0"/>
              <wp:wrapNone/>
              <wp:docPr id="9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06360" cy="56451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3"/>
                            <w:kinsoku/>
                            <w:ind w:left="0" w:firstLine="1201" w:firstLineChars="500"/>
                            <w:jc w:val="both"/>
                            <w:rPr>
                              <w:rFonts w:hint="default" w:ascii="微软雅黑" w:hAnsi="微软雅黑" w:eastAsia="微软雅黑" w:cs="微软雅黑"/>
                              <w:color w:val="FFFFFF" w:themeColor="background1"/>
                              <w:sz w:val="36"/>
                              <w:szCs w:val="36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  <w14:props3d w14:extrusionH="0" w14:contourW="0" w14:prstMaterial="clear"/>
                            </w:rPr>
                          </w:pPr>
                          <w:r>
                            <w:rPr>
                              <w:rFonts w:hint="default" w:ascii="微软雅黑" w:hAnsi="微软雅黑" w:eastAsia="微软雅黑" w:cs="微软雅黑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  <w14:props3d w14:extrusionH="0" w14:contourW="0" w14:prstMaterial="clear"/>
                            </w:rPr>
                            <w:drawing>
                              <wp:inline distT="0" distB="0" distL="114300" distR="114300">
                                <wp:extent cx="368300" cy="377825"/>
                                <wp:effectExtent l="0" t="0" r="12700" b="3175"/>
                                <wp:docPr id="1" name="图片 1" descr="384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3841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68300" cy="37782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b/>
                              <w:bCs/>
                              <w:color w:val="5B9BD5" w:themeColor="accent1"/>
                              <w:sz w:val="24"/>
                              <w:szCs w:val="24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25400" w14:dir="5400000" w14:sx="100000" w14:sy="100000" w14:kx="0" w14:ky="0" w14:algn="ctr">
                                <w14:srgbClr w14:val="6E747A">
                                  <w14:alpha w14:val="57000"/>
                                </w14:srgb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accent1"/>
                                </w14:solidFill>
                              </w14:textFill>
                              <w14:props3d w14:extrusionH="0" w14:contourW="0" w14:prstMaterial="clear"/>
                            </w:rPr>
                            <w:t xml:space="preserve">  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color w:val="FFFFFF" w:themeColor="background1"/>
                              <w:sz w:val="36"/>
                              <w:szCs w:val="36"/>
                              <w:lang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  <w14:props3d w14:extrusionH="0" w14:contourW="0" w14:prstMaterial="clear"/>
                            </w:rPr>
                            <w:t>上海纪宁生物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color w:val="FFFFFF" w:themeColor="background1"/>
                              <w:sz w:val="36"/>
                              <w:szCs w:val="36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  <w14:props3d w14:extrusionH="0" w14:contourW="0" w14:prstMaterial="clear"/>
                            </w:rPr>
                            <w:t xml:space="preserve">   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color w:val="FFFFFF" w:themeColor="background1"/>
                              <w:sz w:val="36"/>
                              <w:szCs w:val="36"/>
                              <w:u w:val="single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  <w14:props3d w14:extrusionH="0" w14:contourW="0" w14:prstMaterial="clear"/>
                            </w:rPr>
                            <w:t>www.shjning.com</w:t>
                          </w:r>
                          <w:r>
                            <w:rPr>
                              <w:rFonts w:hint="eastAsia" w:ascii="微软雅黑" w:hAnsi="微软雅黑" w:eastAsia="微软雅黑" w:cs="微软雅黑"/>
                              <w:color w:val="FFFFFF" w:themeColor="background1"/>
                              <w:sz w:val="36"/>
                              <w:szCs w:val="36"/>
                              <w:lang w:val="en-US" w:eastAsia="zh-CN"/>
                              <w14:glow w14:rad="0">
                                <w14:srgbClr w14:val="000000"/>
                              </w14:glow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reflection w14:blurRad="0" w14:stA="0" w14:stPos="0" w14:endA="0" w14:endPos="0" w14:dist="0" w14:dir="0" w14:fadeDir="0" w14:sx="0" w14:sy="0" w14:kx="0" w14:ky="0" w14:algn="none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  <w14:props3d w14:extrusionH="0" w14:contourW="0" w14:prstMaterial="clear"/>
                            </w:rPr>
                            <w:t xml:space="preserve">   仅供科研使用</w:t>
                          </w:r>
                        </w:p>
                      </w:txbxContent>
                    </wps:txbx>
                    <wps:bodyPr wrap="square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-3.75pt;margin-top:0.75pt;height:44.45pt;width:606.8pt;mso-position-horizontal-relative:page;mso-position-vertical-relative:page;z-index:251660288;mso-width-relative:page;mso-height-relative:page;" filled="f" stroked="f" coordsize="21600,21600" o:gfxdata="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yDHftUAAAAIAQAADwAAAAAAAAABACAAAAAiAAAAZHJzL2Rvd25yZXYueG1sUEsBAhQAFAAA&#10;AAgAh07iQFFYkMi5AQAAXQMAAA4AAAAAAAAAAQAgAAAAJAEAAGRycy9lMm9Eb2MueG1sUEsFBgAA&#10;AAAGAAYAWQEAAE8FAAAAAA=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3"/>
                      <w:kinsoku/>
                      <w:ind w:left="0" w:firstLine="1201" w:firstLineChars="500"/>
                      <w:jc w:val="both"/>
                      <w:rPr>
                        <w:rFonts w:hint="default" w:ascii="微软雅黑" w:hAnsi="微软雅黑" w:eastAsia="微软雅黑" w:cs="微软雅黑"/>
                        <w:color w:val="FFFFFF" w:themeColor="background1"/>
                        <w:sz w:val="36"/>
                        <w:szCs w:val="36"/>
                        <w:lang w:val="en-US" w:eastAsia="zh-CN"/>
                        <w14:glow w14:rad="0">
                          <w14:srgbClr w14:val="000000"/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bg1"/>
                          </w14:solidFill>
                        </w14:textFill>
                        <w14:props3d w14:extrusionH="0" w14:contourW="0" w14:prstMaterial="clear"/>
                      </w:rPr>
                    </w:pPr>
                    <w:r>
                      <w:rPr>
                        <w:rFonts w:hint="default" w:ascii="微软雅黑" w:hAnsi="微软雅黑" w:eastAsia="微软雅黑" w:cs="微软雅黑"/>
                        <w:b/>
                        <w:bCs/>
                        <w:color w:val="5B9BD5" w:themeColor="accent1"/>
                        <w:sz w:val="24"/>
                        <w:szCs w:val="24"/>
                        <w:lang w:val="en-US" w:eastAsia="zh-CN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accent1"/>
                          </w14:solidFill>
                        </w14:textFill>
                        <w14:props3d w14:extrusionH="0" w14:contourW="0" w14:prstMaterial="clear"/>
                      </w:rPr>
                      <w:drawing>
                        <wp:inline distT="0" distB="0" distL="114300" distR="114300">
                          <wp:extent cx="368300" cy="377825"/>
                          <wp:effectExtent l="0" t="0" r="12700" b="3175"/>
                          <wp:docPr id="1" name="图片 1" descr="384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384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68300" cy="37782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hint="eastAsia" w:ascii="微软雅黑" w:hAnsi="微软雅黑" w:eastAsia="微软雅黑" w:cs="微软雅黑"/>
                        <w:b/>
                        <w:bCs/>
                        <w:color w:val="5B9BD5" w:themeColor="accent1"/>
                        <w:sz w:val="24"/>
                        <w:szCs w:val="24"/>
                        <w:lang w:val="en-US" w:eastAsia="zh-CN"/>
                        <w14:glow w14:rad="0">
                          <w14:srgbClr w14:val="000000"/>
                        </w14:glow>
                        <w14:shadow w14:blurRad="38100" w14:dist="25400" w14:dir="5400000" w14:sx="100000" w14:sy="100000" w14:kx="0" w14:ky="0" w14:algn="ctr">
                          <w14:srgbClr w14:val="6E747A">
                            <w14:alpha w14:val="57000"/>
                          </w14:srgb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accent1"/>
                          </w14:solidFill>
                        </w14:textFill>
                        <w14:props3d w14:extrusionH="0" w14:contourW="0" w14:prstMaterial="clear"/>
                      </w:rPr>
                      <w:t xml:space="preserve">  </w:t>
                    </w:r>
                    <w:r>
                      <w:rPr>
                        <w:rFonts w:hint="eastAsia" w:ascii="微软雅黑" w:hAnsi="微软雅黑" w:eastAsia="微软雅黑" w:cs="微软雅黑"/>
                        <w:color w:val="FFFFFF" w:themeColor="background1"/>
                        <w:sz w:val="36"/>
                        <w:szCs w:val="36"/>
                        <w:lang w:eastAsia="zh-CN"/>
                        <w14:glow w14:rad="0">
                          <w14:srgbClr w14:val="000000"/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bg1"/>
                          </w14:solidFill>
                        </w14:textFill>
                        <w14:props3d w14:extrusionH="0" w14:contourW="0" w14:prstMaterial="clear"/>
                      </w:rPr>
                      <w:t>上海纪宁生物</w:t>
                    </w:r>
                    <w:r>
                      <w:rPr>
                        <w:rFonts w:hint="eastAsia" w:ascii="微软雅黑" w:hAnsi="微软雅黑" w:eastAsia="微软雅黑" w:cs="微软雅黑"/>
                        <w:color w:val="FFFFFF" w:themeColor="background1"/>
                        <w:sz w:val="36"/>
                        <w:szCs w:val="36"/>
                        <w:lang w:val="en-US" w:eastAsia="zh-CN"/>
                        <w14:glow w14:rad="0">
                          <w14:srgbClr w14:val="000000"/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bg1"/>
                          </w14:solidFill>
                        </w14:textFill>
                        <w14:props3d w14:extrusionH="0" w14:contourW="0" w14:prstMaterial="clear"/>
                      </w:rPr>
                      <w:t xml:space="preserve">   </w:t>
                    </w:r>
                    <w:r>
                      <w:rPr>
                        <w:rFonts w:hint="eastAsia" w:ascii="微软雅黑" w:hAnsi="微软雅黑" w:eastAsia="微软雅黑" w:cs="微软雅黑"/>
                        <w:color w:val="FFFFFF" w:themeColor="background1"/>
                        <w:sz w:val="36"/>
                        <w:szCs w:val="36"/>
                        <w:u w:val="single"/>
                        <w:lang w:val="en-US" w:eastAsia="zh-CN"/>
                        <w14:glow w14:rad="0">
                          <w14:srgbClr w14:val="000000"/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bg1"/>
                          </w14:solidFill>
                        </w14:textFill>
                        <w14:props3d w14:extrusionH="0" w14:contourW="0" w14:prstMaterial="clear"/>
                      </w:rPr>
                      <w:t>www.shjning.com</w:t>
                    </w:r>
                    <w:r>
                      <w:rPr>
                        <w:rFonts w:hint="eastAsia" w:ascii="微软雅黑" w:hAnsi="微软雅黑" w:eastAsia="微软雅黑" w:cs="微软雅黑"/>
                        <w:color w:val="FFFFFF" w:themeColor="background1"/>
                        <w:sz w:val="36"/>
                        <w:szCs w:val="36"/>
                        <w:lang w:val="en-US" w:eastAsia="zh-CN"/>
                        <w14:glow w14:rad="0">
                          <w14:srgbClr w14:val="000000"/>
                        </w14:glow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reflection w14:blurRad="0" w14:stA="0" w14:stPos="0" w14:endA="0" w14:endPos="0" w14:dist="0" w14:dir="0" w14:fadeDir="0" w14:sx="0" w14:sy="0" w14:kx="0" w14:ky="0" w14:algn="none"/>
                        <w14:textFill>
                          <w14:solidFill>
                            <w14:schemeClr w14:val="bg1"/>
                          </w14:solidFill>
                        </w14:textFill>
                        <w14:props3d w14:extrusionH="0" w14:contourW="0" w14:prstMaterial="clear"/>
                      </w:rPr>
                      <w:t xml:space="preserve">   仅供科研使用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60945" cy="882015"/>
              <wp:effectExtent l="0" t="0" r="1905" b="13335"/>
              <wp:wrapNone/>
              <wp:docPr id="8" name="任意多边形: 形状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7561263" cy="882204"/>
                      </a:xfrm>
                      <a:custGeom>
                        <a:avLst/>
                        <a:gdLst>
                          <a:gd name="connsiteX0" fmla="*/ 7561263 w 7561263"/>
                          <a:gd name="connsiteY0" fmla="*/ 954212 h 954212"/>
                          <a:gd name="connsiteX1" fmla="*/ 0 w 7561263"/>
                          <a:gd name="connsiteY1" fmla="*/ 954212 h 954212"/>
                          <a:gd name="connsiteX2" fmla="*/ 0 w 7561263"/>
                          <a:gd name="connsiteY2" fmla="*/ 360040 h 954212"/>
                          <a:gd name="connsiteX3" fmla="*/ 687169 w 7561263"/>
                          <a:gd name="connsiteY3" fmla="*/ 360040 h 954212"/>
                          <a:gd name="connsiteX4" fmla="*/ 895992 w 7561263"/>
                          <a:gd name="connsiteY4" fmla="*/ 0 h 954212"/>
                          <a:gd name="connsiteX5" fmla="*/ 1104815 w 7561263"/>
                          <a:gd name="connsiteY5" fmla="*/ 360040 h 954212"/>
                          <a:gd name="connsiteX6" fmla="*/ 7561263 w 7561263"/>
                          <a:gd name="connsiteY6" fmla="*/ 360040 h 954212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561263" h="954212">
                            <a:moveTo>
                              <a:pt x="7561263" y="954212"/>
                            </a:moveTo>
                            <a:lnTo>
                              <a:pt x="0" y="954212"/>
                            </a:lnTo>
                            <a:lnTo>
                              <a:pt x="0" y="360040"/>
                            </a:lnTo>
                            <a:lnTo>
                              <a:pt x="687169" y="360040"/>
                            </a:lnTo>
                            <a:lnTo>
                              <a:pt x="895992" y="0"/>
                            </a:lnTo>
                            <a:lnTo>
                              <a:pt x="1104815" y="360040"/>
                            </a:lnTo>
                            <a:lnTo>
                              <a:pt x="7561263" y="360040"/>
                            </a:lnTo>
                            <a:close/>
                          </a:path>
                        </a:pathLst>
                      </a:custGeom>
                      <a:solidFill>
                        <a:srgbClr val="25A6B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任意多边形: 形状 7" o:spid="_x0000_s1026" o:spt="100" style="position:absolute;left:0pt;height:69.45pt;width:595.35pt;mso-position-horizontal:center;mso-position-horizontal-relative:page;mso-position-vertical:top;mso-position-vertical-relative:page;rotation:11796480f;z-index:251659264;v-text-anchor:middle;mso-width-relative:page;mso-height-relative:page;mso-width-percent:1000;" fillcolor="#25A6B8" filled="t" stroked="f" coordsize="7561263,954212" o:gfxdata="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" path="m7561263,954212l0,954212,0,360040,687169,360040,895992,0,1104815,360040,7561263,360040xe">
              <v:path o:connectlocs="7561263,882204;0,882204;0,332870;687169,332870;895992,0;1104815,332870;7561263,332870" o:connectangles="0,0,0,0,0,0,0"/>
              <v:fill on="t" focussize="0,0"/>
              <v:stroke on="f" weight="1pt" miterlimit="8" joinstyle="miter"/>
              <v:imagedata o:title=""/>
              <o:lock v:ext="edit" aspectratio="f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0AC189"/>
    <w:multiLevelType w:val="singleLevel"/>
    <w:tmpl w:val="D20AC189"/>
    <w:lvl w:ilvl="0" w:tentative="0">
      <w:start w:val="1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NTEyM2RiYzg5MDI2ZTAxNWIxNjE1ODJlN2ExMzQifQ=="/>
  </w:docVars>
  <w:rsids>
    <w:rsidRoot w:val="4E801B5F"/>
    <w:rsid w:val="012B4701"/>
    <w:rsid w:val="02F1515B"/>
    <w:rsid w:val="02F92B1B"/>
    <w:rsid w:val="036E1081"/>
    <w:rsid w:val="0432230B"/>
    <w:rsid w:val="088E201A"/>
    <w:rsid w:val="09491BC8"/>
    <w:rsid w:val="0B7032FF"/>
    <w:rsid w:val="0B95772A"/>
    <w:rsid w:val="0C2014A2"/>
    <w:rsid w:val="0E2254F5"/>
    <w:rsid w:val="10BF5687"/>
    <w:rsid w:val="13193C5D"/>
    <w:rsid w:val="166A0A6E"/>
    <w:rsid w:val="168926E4"/>
    <w:rsid w:val="18D70F9E"/>
    <w:rsid w:val="196632ED"/>
    <w:rsid w:val="197A54D8"/>
    <w:rsid w:val="1A0426F6"/>
    <w:rsid w:val="1F431628"/>
    <w:rsid w:val="1FC3227C"/>
    <w:rsid w:val="235D186C"/>
    <w:rsid w:val="23D52519"/>
    <w:rsid w:val="25766224"/>
    <w:rsid w:val="25F96D0E"/>
    <w:rsid w:val="2A4B359A"/>
    <w:rsid w:val="2AFD2AD2"/>
    <w:rsid w:val="2B4149BF"/>
    <w:rsid w:val="2B5D3DB9"/>
    <w:rsid w:val="2CA64AB8"/>
    <w:rsid w:val="2E845793"/>
    <w:rsid w:val="2EB372F4"/>
    <w:rsid w:val="3546508A"/>
    <w:rsid w:val="36D93CDC"/>
    <w:rsid w:val="378B2522"/>
    <w:rsid w:val="3B0A1D09"/>
    <w:rsid w:val="40DB76E7"/>
    <w:rsid w:val="41134591"/>
    <w:rsid w:val="41790F41"/>
    <w:rsid w:val="428C42F8"/>
    <w:rsid w:val="439C3941"/>
    <w:rsid w:val="461E170B"/>
    <w:rsid w:val="4A9C046A"/>
    <w:rsid w:val="4B820CEA"/>
    <w:rsid w:val="4D1D31B6"/>
    <w:rsid w:val="4E801B5F"/>
    <w:rsid w:val="4EE015BA"/>
    <w:rsid w:val="5003209D"/>
    <w:rsid w:val="5041385C"/>
    <w:rsid w:val="514F5CFE"/>
    <w:rsid w:val="5294522F"/>
    <w:rsid w:val="530C5C2F"/>
    <w:rsid w:val="542411B4"/>
    <w:rsid w:val="555962BC"/>
    <w:rsid w:val="5746480D"/>
    <w:rsid w:val="59B8232F"/>
    <w:rsid w:val="5B6C02B8"/>
    <w:rsid w:val="5CDF179C"/>
    <w:rsid w:val="5D156F6C"/>
    <w:rsid w:val="632D55A4"/>
    <w:rsid w:val="686D4100"/>
    <w:rsid w:val="6C213EF1"/>
    <w:rsid w:val="71FC02A3"/>
    <w:rsid w:val="72FD26F7"/>
    <w:rsid w:val="79FB410E"/>
    <w:rsid w:val="7BEC3136"/>
    <w:rsid w:val="7D847F25"/>
    <w:rsid w:val="7EC00FD6"/>
    <w:rsid w:val="7FAD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link w:val="9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table" w:styleId="5">
    <w:name w:val="Table Grid"/>
    <w:basedOn w:val="4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普通(网站) Char"/>
    <w:link w:val="3"/>
    <w:qFormat/>
    <w:uiPriority w:val="0"/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8DE24BEB84CA4C188CC5AD58D79C159C_13</vt:lpwstr>
  </property>
</Properties>
</file>